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013A2C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SZÁMVITEL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 MESTERKÉPZÉSI SZAK</w:t>
      </w:r>
    </w:p>
    <w:p w:rsidR="00765534" w:rsidRPr="00765534" w:rsidRDefault="00751F31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013A2C">
        <w:rPr>
          <w:rFonts w:ascii="Times New Roman" w:hAnsi="Times New Roman" w:cs="Times New Roman"/>
          <w:sz w:val="24"/>
          <w:szCs w:val="24"/>
        </w:rPr>
        <w:t>s</w:t>
      </w:r>
      <w:r w:rsidR="00013A2C" w:rsidRPr="00013A2C">
        <w:rPr>
          <w:rFonts w:ascii="Times New Roman" w:hAnsi="Times New Roman" w:cs="Times New Roman"/>
          <w:sz w:val="24"/>
          <w:szCs w:val="24"/>
        </w:rPr>
        <w:t>zámvitel (Accounting)</w:t>
      </w:r>
    </w:p>
    <w:p w:rsidR="00765534" w:rsidRPr="00765534" w:rsidRDefault="00751F31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5029F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013A2C" w:rsidRPr="00013A2C" w:rsidRDefault="00013A2C" w:rsidP="005029F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A2C">
        <w:rPr>
          <w:rFonts w:ascii="Times New Roman" w:hAnsi="Times New Roman" w:cs="Times New Roman"/>
          <w:sz w:val="24"/>
          <w:szCs w:val="24"/>
        </w:rPr>
        <w:t>- szakképzettség: okleveles közgazdász számvitel szakon</w:t>
      </w:r>
    </w:p>
    <w:p w:rsidR="00311DB0" w:rsidRPr="00765534" w:rsidRDefault="00013A2C" w:rsidP="005029F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A2C">
        <w:rPr>
          <w:rFonts w:ascii="Times New Roman" w:hAnsi="Times New Roman" w:cs="Times New Roman"/>
          <w:sz w:val="24"/>
          <w:szCs w:val="24"/>
        </w:rPr>
        <w:t xml:space="preserve">- a szakképzettség angol nyelvű megjelölése: Economist in </w:t>
      </w:r>
      <w:proofErr w:type="spellStart"/>
      <w:r w:rsidRPr="00013A2C">
        <w:rPr>
          <w:rFonts w:ascii="Times New Roman" w:hAnsi="Times New Roman" w:cs="Times New Roman"/>
          <w:sz w:val="24"/>
          <w:szCs w:val="24"/>
        </w:rPr>
        <w:t>Accountancy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013A2C" w:rsidRPr="00013A2C">
        <w:rPr>
          <w:rFonts w:ascii="Times New Roman" w:hAnsi="Times New Roman" w:cs="Times New Roman"/>
          <w:sz w:val="24"/>
          <w:szCs w:val="24"/>
        </w:rPr>
        <w:t>a pénzügy és</w:t>
      </w:r>
      <w:r w:rsidR="00013A2C">
        <w:rPr>
          <w:rFonts w:ascii="Times New Roman" w:hAnsi="Times New Roman" w:cs="Times New Roman"/>
          <w:sz w:val="24"/>
          <w:szCs w:val="24"/>
        </w:rPr>
        <w:t xml:space="preserve"> </w:t>
      </w:r>
      <w:r w:rsidR="00013A2C" w:rsidRPr="00013A2C">
        <w:rPr>
          <w:rFonts w:ascii="Times New Roman" w:hAnsi="Times New Roman" w:cs="Times New Roman"/>
          <w:sz w:val="24"/>
          <w:szCs w:val="24"/>
        </w:rPr>
        <w:t>számvitel alapképzési szak.</w:t>
      </w:r>
    </w:p>
    <w:p w:rsidR="00013A2C" w:rsidRDefault="00CF458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013A2C">
        <w:rPr>
          <w:rFonts w:ascii="Times New Roman" w:hAnsi="Times New Roman" w:cs="Times New Roman"/>
          <w:b/>
          <w:sz w:val="24"/>
          <w:szCs w:val="24"/>
        </w:rPr>
        <w:t>2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013A2C" w:rsidRPr="00013A2C">
        <w:rPr>
          <w:rFonts w:ascii="Times New Roman" w:hAnsi="Times New Roman" w:cs="Times New Roman"/>
          <w:sz w:val="24"/>
          <w:szCs w:val="24"/>
        </w:rPr>
        <w:t>gazdálkodás és menedzsment, a kereskedelem és marketing, a</w:t>
      </w:r>
      <w:r w:rsidR="00013A2C">
        <w:rPr>
          <w:rFonts w:ascii="Times New Roman" w:hAnsi="Times New Roman" w:cs="Times New Roman"/>
          <w:sz w:val="24"/>
          <w:szCs w:val="24"/>
        </w:rPr>
        <w:t xml:space="preserve"> </w:t>
      </w:r>
      <w:r w:rsidR="00013A2C" w:rsidRPr="00013A2C">
        <w:rPr>
          <w:rFonts w:ascii="Times New Roman" w:hAnsi="Times New Roman" w:cs="Times New Roman"/>
          <w:sz w:val="24"/>
          <w:szCs w:val="24"/>
        </w:rPr>
        <w:t>nemzetközi gazdálkodás, a turizmus-vendéglátás, az emberi erőforrások, az üzleti</w:t>
      </w:r>
      <w:r w:rsidR="005029FE">
        <w:rPr>
          <w:rFonts w:ascii="Times New Roman" w:hAnsi="Times New Roman" w:cs="Times New Roman"/>
          <w:sz w:val="24"/>
          <w:szCs w:val="24"/>
        </w:rPr>
        <w:t xml:space="preserve"> </w:t>
      </w:r>
      <w:r w:rsidR="00013A2C" w:rsidRPr="00013A2C">
        <w:rPr>
          <w:rFonts w:ascii="Times New Roman" w:hAnsi="Times New Roman" w:cs="Times New Roman"/>
          <w:sz w:val="24"/>
          <w:szCs w:val="24"/>
        </w:rPr>
        <w:t>szakoktató alapképzési szak.</w:t>
      </w:r>
    </w:p>
    <w:p w:rsidR="00405BAD" w:rsidRPr="00CF458C" w:rsidRDefault="00013A2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9.2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Pr="00013A2C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5029F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5029F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5029F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013A2C" w:rsidRPr="00013A2C">
        <w:rPr>
          <w:rFonts w:ascii="Times New Roman" w:hAnsi="Times New Roman" w:cs="Times New Roman"/>
          <w:sz w:val="24"/>
          <w:szCs w:val="24"/>
        </w:rPr>
        <w:t>344/1015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013A2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013A2C">
        <w:rPr>
          <w:rFonts w:ascii="Times New Roman" w:hAnsi="Times New Roman" w:cs="Times New Roman"/>
          <w:sz w:val="24"/>
          <w:szCs w:val="24"/>
        </w:rPr>
        <w:t>A képzés célja számviteli szakemberek képzése, akik a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összehasonlításban versenyképes, korszerű elméleti és gyakorlati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birtokában képesek a gazdálkodó egységek számviteli folyamatainak irányítására,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ellenőrzésére és elemzésére. Elméleti és gyakorlati, üzleti és módszertani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ismereteik, a tudatosan fejlesztett vezetői készségek és képességek birtokában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alkalmasak a hazai és a nemzetközi gazdasági élet különböző területein közép-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felsővezetői feladatok ellátására, a számvitel nemzetközi és hazai szakirodalmának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feldolgozására, annak gazdagítására. Felkészültek tanulmányaik doktori képzésben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történő folytatására.</w:t>
      </w:r>
    </w:p>
    <w:p w:rsidR="00B11964" w:rsidRDefault="00B1196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964" w:rsidRDefault="00B1196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013A2C" w:rsidRPr="00013A2C">
        <w:rPr>
          <w:rFonts w:ascii="Times New Roman" w:hAnsi="Times New Roman" w:cs="Times New Roman"/>
          <w:b/>
          <w:sz w:val="24"/>
          <w:szCs w:val="24"/>
        </w:rPr>
        <w:t>Számvitel szakon a közgazdász</w:t>
      </w:r>
    </w:p>
    <w:p w:rsidR="00765534" w:rsidRPr="00765534" w:rsidRDefault="00765534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922466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számvitel és a könyvvizsgálat specifikus összefüggéseit,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nemzetközi szabályozásának lényegét, tartalmát és elemeit.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Átlátja az általános társadalmi-gazdasági környezet mechanizmusait, a piac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működési elveit, a gazdálkodó szervezetek működési rendjét, céljait, a gazdálkodás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eredményeit befolyásoló tényezőket.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gazdálkodó egységek, vállalatok és szervezetek működési területeinek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vezetési-irányítási és koordinálási feladatait, elveit, technikáit és módszereit.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pénzügyi kimutatások összeállításának és elemzésének technikáit,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módszereit, a pénzügyi instrumentumok számvitelét, a számvitel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könyvvizsgálat számítógépes támogatásának mechanizmusát.</w:t>
      </w:r>
    </w:p>
    <w:p w:rsidR="004416BC" w:rsidRPr="00765534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mindazon sajátos technikákat, amelyek a tudományterület elméleti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kérdéseinek kutatását és gyakorlati alkalmazását lehetővé teszik.</w:t>
      </w:r>
    </w:p>
    <w:p w:rsidR="00765534" w:rsidRPr="00765534" w:rsidRDefault="00765534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416BC" w:rsidRPr="004416BC" w:rsidRDefault="002D2B6A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</w:t>
      </w:r>
      <w:r w:rsidR="004416BC" w:rsidRPr="004416BC">
        <w:rPr>
          <w:rFonts w:ascii="Times New Roman" w:hAnsi="Times New Roman" w:cs="Times New Roman"/>
          <w:sz w:val="24"/>
          <w:szCs w:val="24"/>
        </w:rPr>
        <w:t xml:space="preserve"> Önálló új következtetéseket, eredeti gondolatokat és megoldási módokat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kultúrában is.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szervezetben átfogó gazdasági funkciók ellátására,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folyamatok tervezésére, irányítására, az erőforrásokkal történő gazdálkodásra.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Nemzetközi, multikulturális környezetben is képes hatékony munkavégzésre.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 hazai és nemzetközi gazdasági folyamatok, a gazdálkodó szervezetek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környezetének rendszerszemléletű elemzésére.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 különféle gazdasági rendszerek, intézmények, intézetek számviteli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ellenőrzési rendszerének kialakítására, működtetésére, irányítására és ellenőrzésére.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lastRenderedPageBreak/>
        <w:t>- Képes a számvitellel összefüggő gazdasági problémák felismerésére,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elemzésére, a megoldást szolgáló stratégiai és operatív döntések meghozatalára,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végrehajtás irányítására.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az egyedi és konszolidált beszámoló összeállítására, elemzésére.</w:t>
      </w:r>
    </w:p>
    <w:p w:rsidR="002D2B6A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 gazdálkodó egységek költségvetési kapcsolatainak ellenőrzésére,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elemzésére.</w:t>
      </w:r>
    </w:p>
    <w:p w:rsid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16BC">
        <w:rPr>
          <w:rFonts w:ascii="Times New Roman" w:hAnsi="Times New Roman" w:cs="Times New Roman"/>
          <w:sz w:val="24"/>
          <w:szCs w:val="24"/>
        </w:rPr>
        <w:t>Képes a nemzetközi számvitel szabályainak alkalmazására, a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kimutatások összeállítására elemzésére.</w:t>
      </w:r>
    </w:p>
    <w:p w:rsidR="00B20C35" w:rsidRPr="00B20C35" w:rsidRDefault="00B20C35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, segíti, támogatja.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Hitelesen közvetíti a hazai és nemzetközi számviteli szabályrendszereket,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bemutatva a szabályozó által kínált lehetőségek vállalat specifikus előnyeit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hátrányait.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vállalkozás vagy szektor életében bekövetkező, választási lehetőséget nyújtó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gazdasági döntéseinek meghozatala során törekszik a jogszabályok, standardok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etikai normák teljes körű figyelembevételére - döntés előkészítőként bemutatva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valamennyi releváns kimenet számszerűsíthető és nem számszerűsíthető pozitív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negatív hatását.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Átfogó ismeretei birtokában kezdeményező szerepet vállal szakmájának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közösség szolgálatába állítására.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Fejlett szakmai identitással, hivatástudattal rendelkezik, amelyet a szűkebb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szakmai és a szélesebb társadalmi közösség felé is vállal.</w:t>
      </w:r>
    </w:p>
    <w:p w:rsidR="00765534" w:rsidRPr="00765534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gyorsan változó jogszabályi környezetben - a szakma kötelező továbbképzési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előírásai mellett, illetve azon túlmutatóan - belső igényként fogalmazza meg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folyamatos szakmai fejlődést, fokozatosan beépítve munkája során az így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megszerzett új ismereteket és eljárásokat.</w:t>
      </w:r>
    </w:p>
    <w:p w:rsidR="00765534" w:rsidRPr="00765534" w:rsidRDefault="00765534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16BC">
        <w:rPr>
          <w:rFonts w:ascii="Times New Roman" w:hAnsi="Times New Roman" w:cs="Times New Roman"/>
          <w:sz w:val="24"/>
          <w:szCs w:val="24"/>
        </w:rPr>
        <w:t>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Kész arra, hogy magas szintű elméleti és módszertani megalapozottságú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gazdasági és üzleti ismeretekkel rendelkező szakemberekké váljon a modern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piacgazdasági feltételek között működő gazdasági szervezetekben, és felsővezetői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funkciókat is vállalva.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lastRenderedPageBreak/>
        <w:t>- Szakmai munkában kimagasló igényességet is tükröz, az értelmiségi léthez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kötődő általános műveltséget, beleértve gyarapításának forrásait és módszereit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fontosnak tartja.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számvitel társadalmi, gazdasági és jogi környezetében bekövetkező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változások érdeklik, a szakmai döntések következményeinek felelős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végiggondolása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és figyelembe vétele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.</w:t>
      </w:r>
    </w:p>
    <w:p w:rsidR="002D2B6A" w:rsidRPr="00765534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Társadalmi érzékenység, kockázattudatos, a döntéshozatalnál a személyes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felelősségvállalást nem elhá</w:t>
      </w:r>
      <w:r>
        <w:rPr>
          <w:rFonts w:ascii="Times New Roman" w:hAnsi="Times New Roman" w:cs="Times New Roman"/>
          <w:sz w:val="24"/>
          <w:szCs w:val="24"/>
        </w:rPr>
        <w:t>rító.</w:t>
      </w:r>
    </w:p>
    <w:p w:rsidR="00616932" w:rsidRPr="00616932" w:rsidRDefault="00616932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502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4416BC" w:rsidRDefault="00DF670A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  <w:r w:rsidR="004416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6BC" w:rsidRPr="004416BC" w:rsidRDefault="004416BC" w:rsidP="005029FE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gazdaságtudományi és társadalomtudományi ismeretek (matematikai-statisztikai elemzés, kvantitatív döntési módszerek, vállalati pénzügyek,</w:t>
      </w:r>
      <w:r w:rsidR="00B11964"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vállalkozások jogi környezete, kutatási módszerek) 20-30 kredit;</w:t>
      </w:r>
    </w:p>
    <w:p w:rsidR="004416BC" w:rsidRPr="004416BC" w:rsidRDefault="004416BC" w:rsidP="005029FE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számviteli szakmai ismeretek (haladó vezetői számvitel, pénzügyi kimutatások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elemzése, haladó vállalati pénzügyek, pénzügyi instrumentumok számvitele,</w:t>
      </w:r>
      <w:r w:rsidR="005029FE"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nemzetközi számviteli beszámolási rendszer, konszolidált beszámoló összeállítása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és elemzése, vállalkozások adózása és költségvetési kapcsolataik ellenőrzése) 30-40 kredit.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9.1.2. A választható specializációkat is figyelembe véve a számvitel elmélet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kutatás, a költség- és teljesítményelszámolás, a stratégiai vezetői számvitel,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pénzügyi kontrolling, a számvitel számítógépes támogatása, az alkalmazott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vállalatértékelés, a számviteli esettanulmányok, a számvitel szabályozása,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könyvvizsgálat rendszere, a költségvetési szervek és költségvetési támogatások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ellenőrzése, a hitelintézetek ellenőrzése</w:t>
      </w:r>
      <w:r>
        <w:rPr>
          <w:rFonts w:ascii="Times New Roman" w:hAnsi="Times New Roman" w:cs="Times New Roman"/>
          <w:sz w:val="24"/>
          <w:szCs w:val="24"/>
        </w:rPr>
        <w:t xml:space="preserve">, a könyvvizsgálat számítógépes </w:t>
      </w:r>
      <w:r w:rsidRPr="004416BC">
        <w:rPr>
          <w:rFonts w:ascii="Times New Roman" w:hAnsi="Times New Roman" w:cs="Times New Roman"/>
          <w:sz w:val="24"/>
          <w:szCs w:val="24"/>
        </w:rPr>
        <w:t>támogatása, a vállalatirányítás és számvitel, az ellenőrzési esettanulmányok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szakterületein szerezhető speciális ismeret.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A képző intézmény által ajánlott specializáció kreditaránya 25-45 kredit.</w:t>
      </w:r>
    </w:p>
    <w:p w:rsidR="00EB65CB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CB">
        <w:rPr>
          <w:rFonts w:ascii="Times New Roman" w:hAnsi="Times New Roman" w:cs="Times New Roman"/>
          <w:b/>
          <w:sz w:val="24"/>
          <w:szCs w:val="24"/>
        </w:rPr>
        <w:t>9.2. A 4.2. és 4.3. pontban megadott oklevéllel rendelkezők esetén a mesterképzési képzési ciklusba való belépés minimális feltételei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BC" w:rsidRPr="004416BC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60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4416BC" w:rsidRPr="004416BC" w:rsidRDefault="004416BC" w:rsidP="005029F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módszertani ismeretek (matematika, statisztika, informatika) területéről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kredit;</w:t>
      </w:r>
    </w:p>
    <w:p w:rsidR="004416BC" w:rsidRPr="004416BC" w:rsidRDefault="004416BC" w:rsidP="005029F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 xml:space="preserve">- közgazdasági alapismeretek (mikro- és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, pénzügytan,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 xml:space="preserve">nemzetközi gazdaságtan, környezet-gazdaságtan,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gazdaságelmélet</w:t>
      </w:r>
      <w:proofErr w:type="gramStart"/>
      <w:r w:rsidRPr="004416BC">
        <w:rPr>
          <w:rFonts w:ascii="Times New Roman" w:hAnsi="Times New Roman" w:cs="Times New Roman"/>
          <w:sz w:val="24"/>
          <w:szCs w:val="24"/>
        </w:rPr>
        <w:t>,gazdaságstatisztika</w:t>
      </w:r>
      <w:proofErr w:type="spellEnd"/>
      <w:proofErr w:type="gramEnd"/>
      <w:r w:rsidRPr="004416BC">
        <w:rPr>
          <w:rFonts w:ascii="Times New Roman" w:hAnsi="Times New Roman" w:cs="Times New Roman"/>
          <w:sz w:val="24"/>
          <w:szCs w:val="24"/>
        </w:rPr>
        <w:t>, közgazdaság- elmélettörténet, gazdaságmodellezés,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gazdaságpolitika, ágazati és funkcionális gazdaságtan, közösségi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világ- és Európa-gazdaságtan, közpolitikai ismeretek) területéről 10 kredit;</w:t>
      </w:r>
    </w:p>
    <w:p w:rsidR="004416BC" w:rsidRPr="004416BC" w:rsidRDefault="004416BC" w:rsidP="005029F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üzleti ismeretek (emberi erőforrás gazdálkodás, gazdasági jog,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vezetés és szervezés, értékteremtő folyamatok menedzsmentje, döntéselmélet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módszertan, üzleti etika, stratégiai tervezés, üzleti kommunikáció) területéről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kredit;</w:t>
      </w:r>
    </w:p>
    <w:p w:rsidR="004416BC" w:rsidRDefault="004416BC" w:rsidP="005029F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társadalomtudományi ismeretek (Európai Unió, általános és gazdasági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ismeretek, gazdaságtörténet, szociológia, filozófia) területéről 10 kredit;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BC" w:rsidRPr="004416BC" w:rsidRDefault="004416BC" w:rsidP="005029FE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szakmai ismeretek (vállalati gazdaságtan, pénzügy, pénzügyi számítások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pénzügyi piacok, vezetői számvitel, pénzügyi számvitel, éves beszámoló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összeállítása és elemzése, hitelintézeti és költségvetési számvitel, konszolidált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beszámoló, számviteli informatika, vállalati pénzügyek, adózási ismeretek,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vállalatértékelés, pénzügyi jog) területéről 15 kredit.</w:t>
      </w:r>
    </w:p>
    <w:p w:rsidR="005608CF" w:rsidRPr="00616932" w:rsidRDefault="004416BC" w:rsidP="00502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lastRenderedPageBreak/>
        <w:t>A mesterképzésbe való felvétel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alapján a felsorolt területeken legalább 30 kredittel rendelkezzen.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mesterképzésben a hiányzó krediteket a felsőoktatási intézmény tanulmányi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vizsgaszabályzatában meghatározottak szerint kell</w:t>
      </w:r>
      <w:r>
        <w:rPr>
          <w:rFonts w:ascii="Times New Roman" w:hAnsi="Times New Roman" w:cs="Times New Roman"/>
          <w:sz w:val="24"/>
          <w:szCs w:val="24"/>
        </w:rPr>
        <w:t xml:space="preserve"> megszerezni.</w:t>
      </w:r>
    </w:p>
    <w:sectPr w:rsidR="005608CF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71277"/>
    <w:rsid w:val="002A7E53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029FE"/>
    <w:rsid w:val="005608CF"/>
    <w:rsid w:val="00616932"/>
    <w:rsid w:val="00751F31"/>
    <w:rsid w:val="00765534"/>
    <w:rsid w:val="007C4649"/>
    <w:rsid w:val="007D2F8D"/>
    <w:rsid w:val="00833F2D"/>
    <w:rsid w:val="008E4E8E"/>
    <w:rsid w:val="00922466"/>
    <w:rsid w:val="00955A2D"/>
    <w:rsid w:val="009B1CB1"/>
    <w:rsid w:val="00B11964"/>
    <w:rsid w:val="00B20C35"/>
    <w:rsid w:val="00BD7C80"/>
    <w:rsid w:val="00C61F7C"/>
    <w:rsid w:val="00C72942"/>
    <w:rsid w:val="00CD17C2"/>
    <w:rsid w:val="00CF458C"/>
    <w:rsid w:val="00D401E5"/>
    <w:rsid w:val="00DD27BE"/>
    <w:rsid w:val="00DF670A"/>
    <w:rsid w:val="00E32800"/>
    <w:rsid w:val="00EB65CB"/>
    <w:rsid w:val="00EC35CA"/>
    <w:rsid w:val="00FB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7B9E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1477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2024-01-25T17:26:00Z</dcterms:created>
  <dcterms:modified xsi:type="dcterms:W3CDTF">2026-06-24T06:59:00Z</dcterms:modified>
</cp:coreProperties>
</file>