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013A2C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SZÁMVITEL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 MESTERKÉPZÉSI SZAK</w:t>
      </w:r>
    </w:p>
    <w:p w:rsidR="00765534" w:rsidRPr="00765534" w:rsidRDefault="00DA415B" w:rsidP="00955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013A2C">
        <w:rPr>
          <w:rFonts w:ascii="Times New Roman" w:hAnsi="Times New Roman" w:cs="Times New Roman"/>
          <w:sz w:val="24"/>
          <w:szCs w:val="24"/>
        </w:rPr>
        <w:t>s</w:t>
      </w:r>
      <w:r w:rsidR="00013A2C" w:rsidRPr="00013A2C">
        <w:rPr>
          <w:rFonts w:ascii="Times New Roman" w:hAnsi="Times New Roman" w:cs="Times New Roman"/>
          <w:sz w:val="24"/>
          <w:szCs w:val="24"/>
        </w:rPr>
        <w:t>zámvitel (Accounting)</w:t>
      </w:r>
    </w:p>
    <w:p w:rsidR="00765534" w:rsidRPr="00765534" w:rsidRDefault="00DA415B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013A2C" w:rsidRPr="00013A2C" w:rsidRDefault="00013A2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013A2C">
        <w:rPr>
          <w:rFonts w:ascii="Times New Roman" w:hAnsi="Times New Roman" w:cs="Times New Roman"/>
          <w:sz w:val="24"/>
          <w:szCs w:val="24"/>
        </w:rPr>
        <w:t>- szakképzettség: okleveles közgazdász számvitel szakon</w:t>
      </w:r>
    </w:p>
    <w:p w:rsidR="00311DB0" w:rsidRPr="00765534" w:rsidRDefault="00013A2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013A2C">
        <w:rPr>
          <w:rFonts w:ascii="Times New Roman" w:hAnsi="Times New Roman" w:cs="Times New Roman"/>
          <w:sz w:val="24"/>
          <w:szCs w:val="24"/>
        </w:rPr>
        <w:t xml:space="preserve">- a szakképzettség angol nyelvű megjelölése: Economist in </w:t>
      </w:r>
      <w:proofErr w:type="spellStart"/>
      <w:r w:rsidRPr="00013A2C">
        <w:rPr>
          <w:rFonts w:ascii="Times New Roman" w:hAnsi="Times New Roman" w:cs="Times New Roman"/>
          <w:sz w:val="24"/>
          <w:szCs w:val="24"/>
        </w:rPr>
        <w:t>Accountancy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013A2C" w:rsidRPr="00013A2C">
        <w:rPr>
          <w:rFonts w:ascii="Times New Roman" w:hAnsi="Times New Roman" w:cs="Times New Roman"/>
          <w:sz w:val="24"/>
          <w:szCs w:val="24"/>
        </w:rPr>
        <w:t>a pénzügy és</w:t>
      </w:r>
      <w:r w:rsidR="00013A2C">
        <w:rPr>
          <w:rFonts w:ascii="Times New Roman" w:hAnsi="Times New Roman" w:cs="Times New Roman"/>
          <w:sz w:val="24"/>
          <w:szCs w:val="24"/>
        </w:rPr>
        <w:t xml:space="preserve"> </w:t>
      </w:r>
      <w:r w:rsidR="00013A2C" w:rsidRPr="00013A2C">
        <w:rPr>
          <w:rFonts w:ascii="Times New Roman" w:hAnsi="Times New Roman" w:cs="Times New Roman"/>
          <w:sz w:val="24"/>
          <w:szCs w:val="24"/>
        </w:rPr>
        <w:t>számvitel alapképzési szak.</w:t>
      </w:r>
    </w:p>
    <w:p w:rsidR="00013A2C" w:rsidRDefault="00CF458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</w:t>
      </w:r>
      <w:r w:rsidR="00013A2C">
        <w:rPr>
          <w:rFonts w:ascii="Times New Roman" w:hAnsi="Times New Roman" w:cs="Times New Roman"/>
          <w:b/>
          <w:sz w:val="24"/>
          <w:szCs w:val="24"/>
        </w:rPr>
        <w:t>2</w:t>
      </w:r>
      <w:r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="00013A2C" w:rsidRPr="00013A2C">
        <w:rPr>
          <w:rFonts w:ascii="Times New Roman" w:hAnsi="Times New Roman" w:cs="Times New Roman"/>
          <w:sz w:val="24"/>
          <w:szCs w:val="24"/>
        </w:rPr>
        <w:t>gazdálkodás és menedzsment, a kereskedelem és marketing, a</w:t>
      </w:r>
      <w:r w:rsidR="00013A2C">
        <w:rPr>
          <w:rFonts w:ascii="Times New Roman" w:hAnsi="Times New Roman" w:cs="Times New Roman"/>
          <w:sz w:val="24"/>
          <w:szCs w:val="24"/>
        </w:rPr>
        <w:t xml:space="preserve"> </w:t>
      </w:r>
      <w:r w:rsidR="00013A2C" w:rsidRPr="00013A2C">
        <w:rPr>
          <w:rFonts w:ascii="Times New Roman" w:hAnsi="Times New Roman" w:cs="Times New Roman"/>
          <w:sz w:val="24"/>
          <w:szCs w:val="24"/>
        </w:rPr>
        <w:t>nemzetközi gazdálkodás, a turizmus-vendéglátás, az emberi erőforrások, az üzletiszakoktató alapképzési szak.</w:t>
      </w:r>
    </w:p>
    <w:p w:rsidR="00405BAD" w:rsidRPr="00CF458C" w:rsidRDefault="00013A2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A 9.2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vehetők figyelembe</w:t>
      </w:r>
      <w:r w:rsidR="00CF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Pr="00013A2C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013A2C" w:rsidRPr="00013A2C">
        <w:rPr>
          <w:rFonts w:ascii="Times New Roman" w:hAnsi="Times New Roman" w:cs="Times New Roman"/>
          <w:sz w:val="24"/>
          <w:szCs w:val="24"/>
        </w:rPr>
        <w:t>344/1015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013A2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013A2C">
        <w:rPr>
          <w:rFonts w:ascii="Times New Roman" w:hAnsi="Times New Roman" w:cs="Times New Roman"/>
          <w:sz w:val="24"/>
          <w:szCs w:val="24"/>
        </w:rPr>
        <w:t>A képzés célja számviteli szakemberek képzése, akik a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összehasonlításban versenyképes, korszerű elméleti és gyakorlati ismeretek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birtokában képesek a gazdálkodó egységek számviteli folyamatainak irányítására,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ellenőrzésére és elemzésére. Elméleti és gyakorlati, üzleti és módszertani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ismereteik, a tudatosan fejlesztett vezetői készségek és képességek birtokában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alkalmasak a hazai és a nemzetközi gazdasági élet különböző területein közép-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felsővezetői feladatok ellátására, a számvitel nemzetközi és hazai szakirodalmának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feldolgozására, annak gazdagítására. Felkészültek tanulmányaik doktori képzésben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A2C">
        <w:rPr>
          <w:rFonts w:ascii="Times New Roman" w:hAnsi="Times New Roman" w:cs="Times New Roman"/>
          <w:sz w:val="24"/>
          <w:szCs w:val="24"/>
        </w:rPr>
        <w:t>történő folytatására.</w:t>
      </w:r>
    </w:p>
    <w:p w:rsidR="00B11964" w:rsidRDefault="00B11964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964" w:rsidRDefault="00B11964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013A2C" w:rsidRPr="00013A2C">
        <w:rPr>
          <w:rFonts w:ascii="Times New Roman" w:hAnsi="Times New Roman" w:cs="Times New Roman"/>
          <w:b/>
          <w:sz w:val="24"/>
          <w:szCs w:val="24"/>
        </w:rPr>
        <w:t>Számvitel szakon a közgazdász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Elsajátította a gazdaságtudomány, illetve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922466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 számvitel és a könyvvizsgálat specifikus összefüggéseit,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nemzetközi szabályozásának lényegét, tartalmát és elemeit.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Átlátja az általános társadalmi-gazdasági környezet mechanizmusait, a piac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működési elveit, a gazdálkodó szervezetek működési rendjét, céljait, a gazdálkodás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eredményeit befolyásoló tényezőket.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 gazdálkodó egységek, vállalatok és szervezetek működési területeinek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vezetési-irányítási és koordinálási feladatait, elveit, technikáit és módszereit.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a pénzügyi kimutatások összeállításának és elemzésének technikáit,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módszereit, a pénzügyi instrumentumok számvitelét, a számvitel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könyvvizsgálat számítógépes támogatásának mechanizmusát.</w:t>
      </w:r>
    </w:p>
    <w:p w:rsidR="004416BC" w:rsidRPr="00765534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Ismeri mindazon sajátos technikákat, amelyek a tudományterület elméleti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kérdéseinek kutatását és gyakorlati alkalmazását lehetővé teszik.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4416BC" w:rsidRPr="004416BC" w:rsidRDefault="002D2B6A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 xml:space="preserve">- </w:t>
      </w:r>
      <w:r w:rsidR="004416BC" w:rsidRPr="004416BC">
        <w:rPr>
          <w:rFonts w:ascii="Times New Roman" w:hAnsi="Times New Roman" w:cs="Times New Roman"/>
          <w:sz w:val="24"/>
          <w:szCs w:val="24"/>
        </w:rPr>
        <w:t xml:space="preserve"> Önálló új következtetéseket, eredeti gondolatokat és megoldási módokat</w:t>
      </w:r>
      <w:r w:rsidR="004416BC">
        <w:rPr>
          <w:rFonts w:ascii="Times New Roman" w:hAnsi="Times New Roman" w:cs="Times New Roman"/>
          <w:sz w:val="24"/>
          <w:szCs w:val="24"/>
        </w:rPr>
        <w:t xml:space="preserve"> </w:t>
      </w:r>
      <w:r w:rsidR="004416BC" w:rsidRPr="004416BC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 w:rsidR="004416BC">
        <w:rPr>
          <w:rFonts w:ascii="Times New Roman" w:hAnsi="Times New Roman" w:cs="Times New Roman"/>
          <w:sz w:val="24"/>
          <w:szCs w:val="24"/>
        </w:rPr>
        <w:t xml:space="preserve"> </w:t>
      </w:r>
      <w:r w:rsidR="004416BC" w:rsidRPr="004416BC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 w:rsidR="004416BC">
        <w:rPr>
          <w:rFonts w:ascii="Times New Roman" w:hAnsi="Times New Roman" w:cs="Times New Roman"/>
          <w:sz w:val="24"/>
          <w:szCs w:val="24"/>
        </w:rPr>
        <w:t xml:space="preserve"> </w:t>
      </w:r>
      <w:r w:rsidR="004416BC" w:rsidRPr="004416BC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 w:rsidR="004416BC">
        <w:rPr>
          <w:rFonts w:ascii="Times New Roman" w:hAnsi="Times New Roman" w:cs="Times New Roman"/>
          <w:sz w:val="24"/>
          <w:szCs w:val="24"/>
        </w:rPr>
        <w:t xml:space="preserve"> </w:t>
      </w:r>
      <w:r w:rsidR="004416BC" w:rsidRPr="004416BC">
        <w:rPr>
          <w:rFonts w:ascii="Times New Roman" w:hAnsi="Times New Roman" w:cs="Times New Roman"/>
          <w:sz w:val="24"/>
          <w:szCs w:val="24"/>
        </w:rPr>
        <w:t>kultúrában is.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A gyakorlati tudás, tapasztalatok megszerzését követően képes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nagyméretű vállalkozás, komplex szervezeti egység vezetésére, gazdálkodó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szervezetben átfogó gazdasági funkciók ellátására,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folyamatok tervezésére, irányítására, az erőforrásokkal történő gazdálkodásra.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Nemzetközi, multikulturális környezetben is képes hatékony munkavégzésre.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lastRenderedPageBreak/>
        <w:t>- Képes a hazai és nemzetközi gazdasági folyamatok, a gazdálkodó szervezetek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környezetének rendszerszemléletű elemzésére.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Képes a különféle gazdasági rendszerek, intézmények, intézetek számviteli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ellenőrzési rendszerének kialakítására, működtetésére, irányítására és ellenőrzésére.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Képes a számvitellel összefüggő gazdasági problémák felismerésére,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elemzésére, a megoldást szolgáló stratégiai és operatív döntések meghozatalára,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végrehajtás irányítására.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Képes az egyedi és konszolidált beszámoló összeállítására, elemzésére.</w:t>
      </w:r>
    </w:p>
    <w:p w:rsidR="002D2B6A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Képes a gazdálkodó egységek költségvetési kapcsolatainak ellenőrzésére,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elemzésére.</w:t>
      </w:r>
    </w:p>
    <w:p w:rsid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16BC">
        <w:rPr>
          <w:rFonts w:ascii="Times New Roman" w:hAnsi="Times New Roman" w:cs="Times New Roman"/>
          <w:sz w:val="24"/>
          <w:szCs w:val="24"/>
        </w:rPr>
        <w:t>Képes a nemzetközi számvitel szabályainak alkalmazására, a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kimutatások összeállítására elemzésére.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Nyitott és befogadó a gazdaságtudomány és gyakorlat új eredményei iránt.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értékekre (ide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értve a társadalmi, szociális és ökológiai, fenntarthatósági szempontokat is).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>, segíti, támogatja.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Hitelesen közvetíti a hazai és nemzetközi számviteli szabályrendszereket,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bemutatva a szabályozó által kínált lehetőségek vállalat specifikus előnyeit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hátrányait.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A vállalkozás vagy szektor életében bekövetkező, választási lehetőséget nyújtó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gazdasági döntéseinek meghozatala során törekszik a jogszabályok, standardok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etikai normák teljes körű figyelembevételére - döntés előkészítőként bemutatva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valamennyi releváns kimenet számszerűsíthető és nem számszerűsíthető pozitív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negatív hatását.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Átfogó ismeretei birtokában kezdeményező szerepet vállal szakmájának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közösség szolgálatába állítására.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Fejlett szakmai identitással, hivatástudattal rendelkezik, amelyet a szűkebb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szakmai és a szélesebb társadalmi közösség felé is vállal.</w:t>
      </w:r>
    </w:p>
    <w:p w:rsidR="00765534" w:rsidRPr="00765534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A gyorsan változó jogszabályi környezetben - a szakma kötelező továbbképzési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előírásai mellett, illetve azon túlmutatóan - belső igényként fogalmazza meg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folyamatos szakmai fejlődést, fokozatosan beépítve munkája során az így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megszerzett új ismereteket és eljárásokat.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16BC">
        <w:rPr>
          <w:rFonts w:ascii="Times New Roman" w:hAnsi="Times New Roman" w:cs="Times New Roman"/>
          <w:sz w:val="24"/>
          <w:szCs w:val="24"/>
        </w:rPr>
        <w:t>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önállóan lát el gazdasági elemző, döntés előkészítő, tanácsadói feladatokat.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lastRenderedPageBreak/>
        <w:t>- Önállóan létesít, szervez és irányít nagyobb méretű vállalkozást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 xml:space="preserve">- Önállóan azonosítja, tervezi és szervezi saját és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Kész arra, hogy magas szintű elméleti és módszertani megalapozottságú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gazdasági és üzleti ismeretekkel rendelkező szakemberekké váljon a modern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piacgazdasági feltételek között működő gazdasági szervezetekben, és felsővezetői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funkciókat is vállalva.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Szakmai munkában kimagasló igényességet is tükröz, az értelmiségi léthez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kötődő általános műveltséget, beleértve gyarapításának forrásait és módszereit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fontosnak tartja.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A számvitel társadalmi, gazdasági és jogi környezetében bekövetkező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változások érdeklik, a szakmai döntések következményeinek felelős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végiggondolása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 xml:space="preserve"> és figyelembe vétele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>.</w:t>
      </w:r>
    </w:p>
    <w:p w:rsidR="002D2B6A" w:rsidRPr="00765534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Társadalmi érzékenység, kockázattudatos, a döntéshozatalnál a személyes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felelősségvállalást nem elhá</w:t>
      </w:r>
      <w:r>
        <w:rPr>
          <w:rFonts w:ascii="Times New Roman" w:hAnsi="Times New Roman" w:cs="Times New Roman"/>
          <w:sz w:val="24"/>
          <w:szCs w:val="24"/>
        </w:rPr>
        <w:t>rító.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4416BC" w:rsidRDefault="00DF670A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 felépül</w:t>
      </w:r>
      <w:r w:rsidR="004416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gazdaságtudományi és társadalomtudományi ismeretek (matematikai-statisztikai elemzés, kvantitatív döntési módszerek, vállalati pénzügyek,</w:t>
      </w:r>
      <w:r w:rsidR="00B11964"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vállalkozások jogi környezete, kutatási módszerek) 20-30 kredit;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számviteli szakmai ismeretek (haladó vezetői számvitel, pénzügyi kimutatások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elemzése, haladó vállalati pénzügyek, pénzügyi instrumentumok számvitele,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6BC">
        <w:rPr>
          <w:rFonts w:ascii="Times New Roman" w:hAnsi="Times New Roman" w:cs="Times New Roman"/>
          <w:sz w:val="24"/>
          <w:szCs w:val="24"/>
        </w:rPr>
        <w:t>nemzetközi</w:t>
      </w:r>
      <w:proofErr w:type="gramEnd"/>
      <w:r w:rsidRPr="004416BC">
        <w:rPr>
          <w:rFonts w:ascii="Times New Roman" w:hAnsi="Times New Roman" w:cs="Times New Roman"/>
          <w:sz w:val="24"/>
          <w:szCs w:val="24"/>
        </w:rPr>
        <w:t xml:space="preserve"> számviteli beszámolási rendszer, konszolidált beszámoló összeállítása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és elemzése, vállalkozások adózása és költségvetési kapcsolataik ellenőrzése) 30-40 kredit.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9.1.2. A választható specializációkat is figyelembe véve a számvitel elmélet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kutatás, a költség- és teljesítményelszámolás, a stratégiai vezetői számvitel,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pénzügyi kontrolling, a számvitel számítógépes támogatása, az alkalmazott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vállalatértékelés, a számviteli esettanulmányok, a számvitel szabályozása,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könyvvizsgálat rendszere, a költségvetési szervek és költségvetési támogatások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ellenőrzése, a hitelintézetek ellenőrzése</w:t>
      </w:r>
      <w:r>
        <w:rPr>
          <w:rFonts w:ascii="Times New Roman" w:hAnsi="Times New Roman" w:cs="Times New Roman"/>
          <w:sz w:val="24"/>
          <w:szCs w:val="24"/>
        </w:rPr>
        <w:t xml:space="preserve">, a könyvvizsgálat számítógépes </w:t>
      </w:r>
      <w:r w:rsidRPr="004416BC">
        <w:rPr>
          <w:rFonts w:ascii="Times New Roman" w:hAnsi="Times New Roman" w:cs="Times New Roman"/>
          <w:sz w:val="24"/>
          <w:szCs w:val="24"/>
        </w:rPr>
        <w:t>támogatása, a vállalatirányítás és számvitel, az ellenőrzési esettanulmányok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szakterületein szerezhető speciális ismeret.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A képző intézmény által ajánlott specializáció kreditaránya 25-45 kredit.</w:t>
      </w:r>
    </w:p>
    <w:p w:rsidR="00B11964" w:rsidRDefault="00B11964" w:rsidP="004416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964" w:rsidRDefault="00B11964" w:rsidP="004416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964" w:rsidRDefault="00B11964" w:rsidP="004416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5CB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B">
        <w:rPr>
          <w:rFonts w:ascii="Times New Roman" w:hAnsi="Times New Roman" w:cs="Times New Roman"/>
          <w:b/>
          <w:sz w:val="24"/>
          <w:szCs w:val="24"/>
        </w:rPr>
        <w:lastRenderedPageBreak/>
        <w:t>9.2. A 4.2. és 4.3. pontban megadott oklevéllel rendelkezők esetén a mesterképzési képzési ciklusba való belépés minimális feltételei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60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módszertani ismeretek (matematika, statisztika, informatika) területéről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kredit;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 xml:space="preserve">- közgazdasági alapismeretek (mikro- és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4416BC">
        <w:rPr>
          <w:rFonts w:ascii="Times New Roman" w:hAnsi="Times New Roman" w:cs="Times New Roman"/>
          <w:sz w:val="24"/>
          <w:szCs w:val="24"/>
        </w:rPr>
        <w:t>, pénzügytan,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 xml:space="preserve">nemzetközi gazdaságtan, környezet-gazdaságtan, </w:t>
      </w:r>
      <w:proofErr w:type="spellStart"/>
      <w:r w:rsidRPr="004416BC">
        <w:rPr>
          <w:rFonts w:ascii="Times New Roman" w:hAnsi="Times New Roman" w:cs="Times New Roman"/>
          <w:sz w:val="24"/>
          <w:szCs w:val="24"/>
        </w:rPr>
        <w:t>gazdaságelmélet</w:t>
      </w:r>
      <w:proofErr w:type="gramStart"/>
      <w:r w:rsidRPr="004416BC">
        <w:rPr>
          <w:rFonts w:ascii="Times New Roman" w:hAnsi="Times New Roman" w:cs="Times New Roman"/>
          <w:sz w:val="24"/>
          <w:szCs w:val="24"/>
        </w:rPr>
        <w:t>,gazdaságstatisztika</w:t>
      </w:r>
      <w:proofErr w:type="spellEnd"/>
      <w:proofErr w:type="gramEnd"/>
      <w:r w:rsidRPr="004416BC">
        <w:rPr>
          <w:rFonts w:ascii="Times New Roman" w:hAnsi="Times New Roman" w:cs="Times New Roman"/>
          <w:sz w:val="24"/>
          <w:szCs w:val="24"/>
        </w:rPr>
        <w:t>, közgazdaság- elmélettörténet, gazdaságmodellezés,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gazdaságpolitika, ágazati és funkcionális gazdaságtan, közösségi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világ- és Európa-gazdaságtan, közpolitikai ismeretek) területéről 10 kredit;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üzleti ismeretek (emberi erőforrás gazdálkodás, gazdasági jog, marketing,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vezetés és szervezés, értékteremtő folyamatok menedzsmentje, döntéselmélet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módszertan, üzleti etika, stratégiai tervezés, üzleti kommunikáció) területéről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kredit;</w:t>
      </w:r>
    </w:p>
    <w:p w:rsid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társadalomtudományi ismeretek (Európai Unió, általános és gazdasági jogi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ismeretek, gazdaságtörténet, szociológia, filozófia) területéről 10 kredit;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6BC" w:rsidRPr="004416BC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- szakmai ismeretek (vállalati gazdaságtan, pénzügy, pénzügyi számítások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pénzügyi piacok, vezetői számvitel, pénzügyi számvitel, éves beszámoló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összeállítása és elemzése, hitelintézeti és költségvetési számvitel, konszolidált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beszámoló, számviteli informatika, vállalati pénzügyek, adózási ismeretek,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vállalatértékelés, pénzügyi jog) területéről 15 kredit.</w:t>
      </w:r>
    </w:p>
    <w:p w:rsidR="005608CF" w:rsidRPr="00616932" w:rsidRDefault="004416BC" w:rsidP="004416BC">
      <w:pPr>
        <w:jc w:val="both"/>
        <w:rPr>
          <w:rFonts w:ascii="Times New Roman" w:hAnsi="Times New Roman" w:cs="Times New Roman"/>
          <w:sz w:val="24"/>
          <w:szCs w:val="24"/>
        </w:rPr>
      </w:pPr>
      <w:r w:rsidRPr="004416BC">
        <w:rPr>
          <w:rFonts w:ascii="Times New Roman" w:hAnsi="Times New Roman" w:cs="Times New Roman"/>
          <w:sz w:val="24"/>
          <w:szCs w:val="24"/>
        </w:rPr>
        <w:t>A mesterképzésbe való felvétel feltétele, hogy a hallgató a korábbi tanulmányai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alapján a felsorolt területeken legalább 30 kredittel rendelkezzen.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mesterképzésben a hiányzó krediteket a felsőoktatási intézmény tanulmányi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BC">
        <w:rPr>
          <w:rFonts w:ascii="Times New Roman" w:hAnsi="Times New Roman" w:cs="Times New Roman"/>
          <w:sz w:val="24"/>
          <w:szCs w:val="24"/>
        </w:rPr>
        <w:t>vizsgaszabályzatában meghatározottak szerint kell</w:t>
      </w:r>
      <w:r>
        <w:rPr>
          <w:rFonts w:ascii="Times New Roman" w:hAnsi="Times New Roman" w:cs="Times New Roman"/>
          <w:sz w:val="24"/>
          <w:szCs w:val="24"/>
        </w:rPr>
        <w:t xml:space="preserve"> megszerezni.</w:t>
      </w:r>
    </w:p>
    <w:sectPr w:rsidR="005608CF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13A2C"/>
    <w:rsid w:val="001050BB"/>
    <w:rsid w:val="00171277"/>
    <w:rsid w:val="002A7E53"/>
    <w:rsid w:val="002D2B6A"/>
    <w:rsid w:val="002D6EE6"/>
    <w:rsid w:val="00311DB0"/>
    <w:rsid w:val="0031428A"/>
    <w:rsid w:val="00316136"/>
    <w:rsid w:val="00356F57"/>
    <w:rsid w:val="003904E8"/>
    <w:rsid w:val="00405BAD"/>
    <w:rsid w:val="00423904"/>
    <w:rsid w:val="00434C6C"/>
    <w:rsid w:val="004416BC"/>
    <w:rsid w:val="004A2CEA"/>
    <w:rsid w:val="004E13D3"/>
    <w:rsid w:val="005608CF"/>
    <w:rsid w:val="00616932"/>
    <w:rsid w:val="00765534"/>
    <w:rsid w:val="007C4649"/>
    <w:rsid w:val="007D2F8D"/>
    <w:rsid w:val="00833F2D"/>
    <w:rsid w:val="008E4E8E"/>
    <w:rsid w:val="00922466"/>
    <w:rsid w:val="00955A2D"/>
    <w:rsid w:val="009B1CB1"/>
    <w:rsid w:val="00B11964"/>
    <w:rsid w:val="00B20C35"/>
    <w:rsid w:val="00BD7C80"/>
    <w:rsid w:val="00C61F7C"/>
    <w:rsid w:val="00C72942"/>
    <w:rsid w:val="00CD17C2"/>
    <w:rsid w:val="00CF458C"/>
    <w:rsid w:val="00D401E5"/>
    <w:rsid w:val="00DA415B"/>
    <w:rsid w:val="00DD27BE"/>
    <w:rsid w:val="00DF670A"/>
    <w:rsid w:val="00E32800"/>
    <w:rsid w:val="00E71373"/>
    <w:rsid w:val="00EB65CB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781F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2026-06-18T08:53:00Z</dcterms:created>
  <dcterms:modified xsi:type="dcterms:W3CDTF">2026-06-18T08:53:00Z</dcterms:modified>
</cp:coreProperties>
</file>