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CF458C" w:rsidP="00955A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>SPORTKÖZGAZDÁSZ MESTERKÉPZÉSI SZAK</w:t>
      </w:r>
    </w:p>
    <w:p w:rsidR="00765534" w:rsidRPr="00765534" w:rsidRDefault="008D1953" w:rsidP="00955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CF458C" w:rsidRPr="00CF458C">
        <w:rPr>
          <w:rFonts w:ascii="Times New Roman" w:hAnsi="Times New Roman" w:cs="Times New Roman"/>
          <w:sz w:val="24"/>
          <w:szCs w:val="24"/>
        </w:rPr>
        <w:t>sportközgazdász (</w:t>
      </w:r>
      <w:proofErr w:type="spellStart"/>
      <w:r w:rsidR="00CF458C" w:rsidRPr="00CF458C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="00CF458C" w:rsidRPr="00CF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8C" w:rsidRPr="00CF458C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="00CF458C" w:rsidRPr="00CF458C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8D1953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CF458C" w:rsidRPr="00CF458C" w:rsidRDefault="00CF458C" w:rsidP="00CF458C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sz w:val="24"/>
          <w:szCs w:val="24"/>
        </w:rPr>
        <w:t>- szakképzettség: okleveles sportközgazdász</w:t>
      </w:r>
    </w:p>
    <w:p w:rsidR="00311DB0" w:rsidRPr="00765534" w:rsidRDefault="00CF458C" w:rsidP="00CF458C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sz w:val="24"/>
          <w:szCs w:val="24"/>
        </w:rPr>
        <w:t xml:space="preserve">- a szakképzettség angol nyelvű megjelölése: </w:t>
      </w:r>
      <w:proofErr w:type="spellStart"/>
      <w:r w:rsidRPr="00CF458C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CF458C">
        <w:rPr>
          <w:rFonts w:ascii="Times New Roman" w:hAnsi="Times New Roman" w:cs="Times New Roman"/>
          <w:sz w:val="24"/>
          <w:szCs w:val="24"/>
        </w:rPr>
        <w:t xml:space="preserve"> Economist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CF458C" w:rsidRPr="00CF458C" w:rsidRDefault="00CF458C" w:rsidP="00CF458C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Pr="00CF458C">
        <w:rPr>
          <w:rFonts w:ascii="Times New Roman" w:hAnsi="Times New Roman" w:cs="Times New Roman"/>
          <w:sz w:val="24"/>
          <w:szCs w:val="24"/>
        </w:rPr>
        <w:t>a gazdaságtudományok képzési terület üzleti alapképzési szakjai, valamint az informatika képzési területről a gazdaságinformatikus alapképzési szak.</w:t>
      </w:r>
    </w:p>
    <w:p w:rsidR="00CF458C" w:rsidRPr="00CF458C" w:rsidRDefault="00CF458C" w:rsidP="00CF4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>4.2. A 9.3. pontban meghatározott kreditek teljesítésével elsősorban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b/>
          <w:sz w:val="24"/>
          <w:szCs w:val="24"/>
        </w:rPr>
        <w:t xml:space="preserve">számításba: </w:t>
      </w:r>
      <w:r w:rsidRPr="00006591">
        <w:rPr>
          <w:rFonts w:ascii="Times New Roman" w:hAnsi="Times New Roman" w:cs="Times New Roman"/>
          <w:sz w:val="24"/>
          <w:szCs w:val="24"/>
        </w:rPr>
        <w:t>a sporttudomány képzési területről a sportszervező, a rekreációszervezés és egészségfejlesztés, valamint a sport- és rekreációszervezés alapképzési szak, a gazdaságtudományok képzési területről az alkalmazott közgazdaságtan, a gazdaság- és pénzügy-matematikai elemzés, a közszolgálati, a gazdaságelemzés alapképzési szak.</w:t>
      </w:r>
    </w:p>
    <w:p w:rsidR="00405BAD" w:rsidRPr="00CF458C" w:rsidRDefault="00CF458C" w:rsidP="00CF458C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>4.3. A 9.3. pontban meghatározott kreditek teljesítésével vehetők figyelembe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b/>
          <w:sz w:val="24"/>
          <w:szCs w:val="24"/>
        </w:rPr>
        <w:t xml:space="preserve">továbbá: </w:t>
      </w:r>
      <w:r w:rsidRPr="00CF458C">
        <w:rPr>
          <w:rFonts w:ascii="Times New Roman" w:hAnsi="Times New Roman" w:cs="Times New Roman"/>
          <w:sz w:val="24"/>
          <w:szCs w:val="24"/>
        </w:rPr>
        <w:t>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 w:rsidRPr="009B1CB1">
        <w:rPr>
          <w:rFonts w:ascii="Times New Roman" w:hAnsi="Times New Roman" w:cs="Times New Roman"/>
          <w:sz w:val="24"/>
          <w:szCs w:val="24"/>
        </w:rPr>
        <w:t xml:space="preserve">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CF458C" w:rsidRDefault="00CF458C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6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CF458C" w:rsidRPr="00CF458C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CF458C" w:rsidP="00CF458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58C">
        <w:rPr>
          <w:rFonts w:ascii="Times New Roman" w:hAnsi="Times New Roman" w:cs="Times New Roman"/>
          <w:sz w:val="24"/>
          <w:szCs w:val="24"/>
        </w:rPr>
        <w:t>A képzés célja sportközgazdászok képzése, akik közgazdaságtudományi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sporttudományi műveltségükkel képesek az európai és a hazai sportélet területein,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valamint a világpiacon önálló kreatív közgazdász szemléletű gondolkodásra,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gazdálkodó szervezetek tevékenységének elemzésére és komplex fejlesztési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feladatainak megoldására, alkalmazott sporttudományi és közgazdaság tudományi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elemzések és kutatások végzésére az akadémiai, állami és magánszférában,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 xml:space="preserve">sportélet területén - a modern piacgazdaság viszonyait figyelembe véve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F458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fejlesztési célokat meghatározni, ugyanakkor a magas szintű sportközgazdászi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(innovációs) elméleti tudás és képességek birtokában alkalmasak a hazai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 xml:space="preserve">nemzetközi gazdasági élet </w:t>
      </w:r>
      <w:r w:rsidRPr="00CF458C">
        <w:rPr>
          <w:rFonts w:ascii="Times New Roman" w:hAnsi="Times New Roman" w:cs="Times New Roman"/>
          <w:sz w:val="24"/>
          <w:szCs w:val="24"/>
        </w:rPr>
        <w:lastRenderedPageBreak/>
        <w:t>különböző területein közép- és felsővezetői feladatok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ellátására is. Felkészültek tanulmányaik doktori képzésben történő folytatására.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8.1. Az elsajátítandó szakmai kompetenciák</w:t>
      </w:r>
    </w:p>
    <w:p w:rsidR="00765534" w:rsidRPr="00765534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CF458C">
        <w:rPr>
          <w:rFonts w:ascii="Times New Roman" w:hAnsi="Times New Roman" w:cs="Times New Roman"/>
          <w:b/>
          <w:sz w:val="24"/>
          <w:szCs w:val="24"/>
        </w:rPr>
        <w:t>Sport</w:t>
      </w:r>
      <w:r w:rsidR="00955A2D" w:rsidRPr="00955A2D">
        <w:rPr>
          <w:rFonts w:ascii="Times New Roman" w:hAnsi="Times New Roman" w:cs="Times New Roman"/>
          <w:b/>
          <w:sz w:val="24"/>
          <w:szCs w:val="24"/>
        </w:rPr>
        <w:t>közgazdász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922466" w:rsidRPr="00922466" w:rsidRDefault="00922466" w:rsidP="00922466">
      <w:pPr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Elsajátította a gazdaságtudomány, illetve gazdaság mikro és makro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szerveződési szintjeinek fogalmait, elméleteit, folyamatait és jellemzőit, ismeri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meghatározó gazdasági tényeket.</w:t>
      </w:r>
    </w:p>
    <w:p w:rsidR="00922466" w:rsidRPr="00922466" w:rsidRDefault="00922466" w:rsidP="00922466">
      <w:pPr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különös tekintettel az intézményi környezetre.</w:t>
      </w:r>
    </w:p>
    <w:p w:rsidR="00922466" w:rsidRPr="00922466" w:rsidRDefault="00922466" w:rsidP="00922466">
      <w:pPr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tevékenységéhez kapcsolódó szakpolitikáit.</w:t>
      </w:r>
    </w:p>
    <w:p w:rsidR="00922466" w:rsidRPr="00922466" w:rsidRDefault="00922466" w:rsidP="00922466">
      <w:pPr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Birtokában van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 xml:space="preserve">információgyűjtés és -feldolgozás korszerű, elméletileg is igényes matematikai-statisztikai, </w:t>
      </w:r>
      <w:proofErr w:type="spellStart"/>
      <w:r w:rsidRPr="00922466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922466">
        <w:rPr>
          <w:rFonts w:ascii="Times New Roman" w:hAnsi="Times New Roman" w:cs="Times New Roman"/>
          <w:sz w:val="24"/>
          <w:szCs w:val="24"/>
        </w:rPr>
        <w:t>, modellezési módszereinek, ismeri azok korlátait is.</w:t>
      </w:r>
    </w:p>
    <w:p w:rsidR="00922466" w:rsidRPr="00922466" w:rsidRDefault="00922466" w:rsidP="00922466">
      <w:pPr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Ismeri a vállalkozás, gazdálkodó szervezet és projekt tervezési és vezetési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szabályait, szakmai és etikai normáit.</w:t>
      </w:r>
    </w:p>
    <w:p w:rsidR="00CD17C2" w:rsidRDefault="00922466" w:rsidP="00922466">
      <w:pPr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 xml:space="preserve">- Ismeri a sportgazdasági rendszer működési </w:t>
      </w:r>
      <w:proofErr w:type="gramStart"/>
      <w:r w:rsidRPr="00922466">
        <w:rPr>
          <w:rFonts w:ascii="Times New Roman" w:hAnsi="Times New Roman" w:cs="Times New Roman"/>
          <w:sz w:val="24"/>
          <w:szCs w:val="24"/>
        </w:rPr>
        <w:t>elveit</w:t>
      </w:r>
      <w:proofErr w:type="gramEnd"/>
      <w:r w:rsidRPr="00922466">
        <w:rPr>
          <w:rFonts w:ascii="Times New Roman" w:hAnsi="Times New Roman" w:cs="Times New Roman"/>
          <w:sz w:val="24"/>
          <w:szCs w:val="24"/>
        </w:rPr>
        <w:t xml:space="preserve"> intézményi sajátosságait,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sportszervezetek struktúráját, működését, kapcsolatrendszerét, a sportgazdaság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szereplőinek viselkedését meghatározó környezeti tényezőket, a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információs és motivációs tényezőit</w:t>
      </w:r>
      <w:r w:rsidR="00CD17C2" w:rsidRPr="00CD17C2">
        <w:rPr>
          <w:rFonts w:ascii="Times New Roman" w:hAnsi="Times New Roman" w:cs="Times New Roman"/>
          <w:sz w:val="24"/>
          <w:szCs w:val="24"/>
        </w:rPr>
        <w:t>.</w:t>
      </w:r>
    </w:p>
    <w:p w:rsidR="00922466" w:rsidRPr="00922466" w:rsidRDefault="00922466" w:rsidP="00922466">
      <w:pPr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Ismeri és érti a sportgazdaság területén a problémák beazonosítására alkalmas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sportközgazdász szakértői tudás alapjait, a sportgazdaság területén alkalmazható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információgyűjtési elemzési, problémamegoldási módszereket.</w:t>
      </w:r>
    </w:p>
    <w:p w:rsidR="00922466" w:rsidRPr="00922466" w:rsidRDefault="00922466" w:rsidP="00922466">
      <w:pPr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Tisztában van a sportjog, a sportszociológia, a sportfinanszírozás,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sportszervezeti pénzügyek és számvitel releváns fogalmaival, elméleteivel.</w:t>
      </w:r>
    </w:p>
    <w:p w:rsidR="00922466" w:rsidRPr="00922466" w:rsidRDefault="00922466" w:rsidP="00922466">
      <w:pPr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Ismeri és érti a sportgazdaság hazai és nemzetközi környezeti, társadalmi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gazdasági összefüggéseit, követelményeit, az aktuális kutatási kérdéseket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eredményeket.</w:t>
      </w:r>
    </w:p>
    <w:p w:rsidR="00922466" w:rsidRPr="00922466" w:rsidRDefault="00922466" w:rsidP="00922466">
      <w:pPr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Széles kontextusban ismeri az életpálya-tervezés lehetőségeit, feltételeit,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eszközeit és módszereit, beleértve mások segítésének, motiválásának feltétel-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eszközrendszerét.</w:t>
      </w:r>
    </w:p>
    <w:p w:rsidR="00922466" w:rsidRPr="00765534" w:rsidRDefault="00922466" w:rsidP="00922466">
      <w:pPr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A munka világán túl is releváns, átfogó társadalmi és közéleti műveltséggel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tudásanyaggal rendelkezik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meghozatalára, változó hazai és nemzetközi környezetben, illetve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kultúrában is.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lastRenderedPageBreak/>
        <w:t>- A gyakorlati tudás, tapasztalatok megszerzését követően képes közepes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nagyméretű vállalkozás, komplex szervezeti egység vezetésére, gazdálkodó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szervezetben átfogó gazdasági funkciók ellátására, összetett gazdálkodási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folyamatok tervezésére, irányítására, az erőforrásokkal történő gazdálkodásra.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Nemzetközi, multikulturális környezetben is képes hatékony munkavégzésre.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Magyar és idegen nyelven elméleti és ténybeli forrásokat tár fel, sportgazdasági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szakterületen, illetve a releváns kapcsolódó tudományoknak a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közleményeit követi.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 xml:space="preserve">- A sportgazdaság területén releváns gazdasági problémák feltárása,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elemezése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 xml:space="preserve">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megoldása során figyelembe veszi azok komplex társadalmi, szakpolitikai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összefüggésrendszerét.</w:t>
      </w:r>
    </w:p>
    <w:p w:rsidR="005608CF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Az elemzés és a gyakorlati problémamegoldás során, ha szükséges,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interdiszciplináris megközelítést alkalmaz.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fogalmaz meg, multidiszciplináris kontextusban, új és eddig ismeretlen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környezetben, nem teljes, illetve korlátozott információk mellett is.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Képes szakmai elemzéseket, esettanulmányokat a szakmai közlés szabályai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szerint közzétenni, szükség esetén idegen nyelven is. Képesek hatékonyan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felhasználni a sportélet különböző erőforrásait, ismeri a sport berkeiben azokat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alapvető viszonyokat és törvényszerűségeket, amelyek kizárólag a testnevelésre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a sportmozgalomra jellemzők.</w:t>
      </w:r>
    </w:p>
    <w:p w:rsid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A mesterképzésben végzett képes civil szervezetek alapítására, működtetésére,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különös tekintettel a sport civil szervezetekre.</w:t>
      </w:r>
    </w:p>
    <w:p w:rsidR="00B20C35" w:rsidRPr="00B20C35" w:rsidRDefault="00B20C35" w:rsidP="00B20C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Nyitott és befogadó a gazdaságtudomány és gyakorlat új eredményei iránt.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 xml:space="preserve">- Kulturált, etikus és tárgyilagos értelmiségi hozzáállás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illetve a társadalmi problémákhoz való viszonyulása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értékre (ide értve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a társadalmi, szociális és ökológiai, fenntarthatósági szempontokat is). Törekszik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 xml:space="preserve">tudásának és munkakapcsolatainak fejlesztésére, erre munkatársait és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>, segíti, támogatja.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Hivatásának tartja a gazdaságtudományok átfogó gondolkodásmódjának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értékrendszerének, gyakorlati működése alapvető jellemzőinek hiteles közvetítését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munkahelyi környezetben és azon kívül, szakmai és nem szakmai közönség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számára is.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Fontosnak tartja gondolatainak, szakmai eredményeinek, javaslatainak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közzétételét szakmai fórumokon előadások és szakmai tanulmányok, publikációk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formájában is, magyar és idegen nyelven egyaránt.</w:t>
      </w:r>
    </w:p>
    <w:p w:rsidR="00765534" w:rsidRPr="00765534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Saját szakmai pályájának tervezésében és szervezésében a szakmai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társadalmi tudás és a társadalmi hasznosság gyarapításának igénye motiválja.</w:t>
      </w:r>
    </w:p>
    <w:p w:rsidR="00006591" w:rsidRDefault="00006591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591" w:rsidRDefault="00006591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lastRenderedPageBreak/>
        <w:t>d) autonómiája és felelőssége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Szervezetpolitikai, stratégiai, irányítási szempontból jelentős területeken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önállóan választja ki és alkalmazza a releváns problémamegoldási módszereket,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önállóan lát el gazdasági elemző, döntés-előkészítő, tanácsadói feladatokat.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Önállóan létesít, szervez és irányít nagyobb méretű vállalkozást, vagy nagyobb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szervezetet, szervezeti egységet is.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vállalkozásáért, az alkalmazottakért.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 xml:space="preserve">- Önállóan azonosítja, tervezi és szervezi saját és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 xml:space="preserve"> szakmai és általános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fejlődését, azokért felelősséget vállal és visel.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Önállóan tárja fel a szakterületi kapcsolódásokat. Felelősséget vállal és visel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tevékenységének más szakterületeket érintő következményeiért.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Az eredményes szakmai munkához szükséges tágabb szakmai, szakpolitikai,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hazai és nemzetközi kapcsolatait önállóan kezdeményezi és szervezi, döntéseinek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következményeit ilyen kontextusokban is vállalja.</w:t>
      </w:r>
    </w:p>
    <w:p w:rsidR="002D2B6A" w:rsidRPr="00765534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Társadalmi és közéleti ügyekben kezdeményező, felelős magatartást tanúsít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munkatársak, beosztottak vonatkozás</w:t>
      </w:r>
      <w:r>
        <w:rPr>
          <w:rFonts w:ascii="Times New Roman" w:hAnsi="Times New Roman" w:cs="Times New Roman"/>
          <w:sz w:val="24"/>
          <w:szCs w:val="24"/>
        </w:rPr>
        <w:t>ában.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9.1.1. A szakképzettséghez vezető tudományágak, szakterületek, amelyekből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szak felépül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gazdaságtani és társadalomtudományi ismeretek (sportgazdaságtan, makro-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mikroökonómiai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 xml:space="preserve"> ismeretek, pénzügyi elemzés, társadalom és sport, vezetői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közgazdaságtan, gazdasági jog, kutatásmódszertan, projektmenedzsment, üzleti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 xml:space="preserve">tervezés, statisztika és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ökonometria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>) 25-35 kredit;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B6A">
        <w:rPr>
          <w:rFonts w:ascii="Times New Roman" w:hAnsi="Times New Roman" w:cs="Times New Roman"/>
          <w:sz w:val="24"/>
          <w:szCs w:val="24"/>
        </w:rPr>
        <w:t>- a sportközgazdász szakmai ismeretek (sportfinanszírozás makro-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mikrogazdasági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 xml:space="preserve"> vonatkozásai, sportszervezetek számvitele, sportszervezetek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pénzügyei és adózása, nemzetközi és kereskedelmi sportjog, egyéni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csapatsportágak gazdaságtana, sportmarketing, nemzetközi szervezetek, licencia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 xml:space="preserve">eljárások, a világesemények szerepe a sportgazdaságban,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olimpizmus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sportszervezetek vezetése, és szervezeti felépítése, biztosítások a sportban, sport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média, infrastruktúra és sportvállalkozás, döntéselmélet, élsportolók életpálya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modelljei, sikerlélektan, sportolói önismeret, teljesítménymérés és menedzsment,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2B6A">
        <w:rPr>
          <w:rFonts w:ascii="Times New Roman" w:hAnsi="Times New Roman" w:cs="Times New Roman"/>
          <w:sz w:val="24"/>
          <w:szCs w:val="24"/>
        </w:rPr>
        <w:t>sport</w:t>
      </w:r>
      <w:proofErr w:type="gramEnd"/>
      <w:r w:rsidRPr="002D2B6A">
        <w:rPr>
          <w:rFonts w:ascii="Times New Roman" w:hAnsi="Times New Roman" w:cs="Times New Roman"/>
          <w:sz w:val="24"/>
          <w:szCs w:val="24"/>
        </w:rPr>
        <w:t xml:space="preserve"> és turizmus, a szabadidősport társadalmi és gazdasági kérdései) 35-45 kredit.</w:t>
      </w:r>
    </w:p>
    <w:p w:rsidR="005608CF" w:rsidRPr="005608CF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9.1.2. A képző intézmény által ajánlott válaszható specializációk,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modulok 25-35 kredit.</w:t>
      </w:r>
    </w:p>
    <w:p w:rsidR="005608CF" w:rsidRPr="00BD7C80" w:rsidRDefault="005608CF" w:rsidP="005608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C80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A szakmai gyakorlat legalább 60 óra sportszervezetek vezetése és 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felépítése, sportszolgáltatások menedzselése területén szerzett gyakorlat, amelyet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képzés tanterve határoz meg.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lastRenderedPageBreak/>
        <w:t>9.3. A 4.2. és 4.3. pontban megadott oklevéllel rendelkezők esetén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mesterképzési képzési ciklusba való belépés minimális feltételei: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A mesterképzésbe való belépéshez szükséges minimális kreditek száma 30 kredit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az alábbi területekről: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módszertani ismeretek (matematika, statisztika) területéről 8 kredit;</w:t>
      </w:r>
    </w:p>
    <w:p w:rsidR="002D2B6A" w:rsidRPr="002D2B6A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elméleti gazdaságtani ismeretek (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mikroökonómia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pénzügytan) területéről 10 kredit;</w:t>
      </w:r>
    </w:p>
    <w:p w:rsidR="005608CF" w:rsidRPr="00616932" w:rsidRDefault="002D2B6A" w:rsidP="002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egységes üzleti alapozó ismeretek (marketing, gazdasági jog, vállalat-gazdaságtan, számvitel, vállalati pénzügy) területéről 12 kredit.</w:t>
      </w:r>
    </w:p>
    <w:sectPr w:rsidR="005608CF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006591"/>
    <w:rsid w:val="001050BB"/>
    <w:rsid w:val="00171277"/>
    <w:rsid w:val="002A7E53"/>
    <w:rsid w:val="002D2B6A"/>
    <w:rsid w:val="002D6EE6"/>
    <w:rsid w:val="00311DB0"/>
    <w:rsid w:val="0031428A"/>
    <w:rsid w:val="00316136"/>
    <w:rsid w:val="003904E8"/>
    <w:rsid w:val="00405BAD"/>
    <w:rsid w:val="00423904"/>
    <w:rsid w:val="00434C6C"/>
    <w:rsid w:val="004A2CEA"/>
    <w:rsid w:val="004E13D3"/>
    <w:rsid w:val="005608CF"/>
    <w:rsid w:val="00616932"/>
    <w:rsid w:val="00765534"/>
    <w:rsid w:val="007C4649"/>
    <w:rsid w:val="007D2F8D"/>
    <w:rsid w:val="00833F2D"/>
    <w:rsid w:val="008D1953"/>
    <w:rsid w:val="008E4E8E"/>
    <w:rsid w:val="00901A67"/>
    <w:rsid w:val="00922466"/>
    <w:rsid w:val="00955A2D"/>
    <w:rsid w:val="009B1CB1"/>
    <w:rsid w:val="00B20C35"/>
    <w:rsid w:val="00BD7C80"/>
    <w:rsid w:val="00C61F7C"/>
    <w:rsid w:val="00C72942"/>
    <w:rsid w:val="00CD17C2"/>
    <w:rsid w:val="00CF458C"/>
    <w:rsid w:val="00D401E5"/>
    <w:rsid w:val="00DD27BE"/>
    <w:rsid w:val="00DF670A"/>
    <w:rsid w:val="00E32800"/>
    <w:rsid w:val="00E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6758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9622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3</cp:revision>
  <dcterms:created xsi:type="dcterms:W3CDTF">2026-06-18T08:52:00Z</dcterms:created>
  <dcterms:modified xsi:type="dcterms:W3CDTF">2026-06-18T08:52:00Z</dcterms:modified>
</cp:coreProperties>
</file>