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534">
        <w:rPr>
          <w:rFonts w:ascii="Times New Roman" w:hAnsi="Times New Roman" w:cs="Times New Roman"/>
          <w:b/>
          <w:sz w:val="24"/>
          <w:szCs w:val="24"/>
        </w:rPr>
        <w:t>AGRÁR- ÉS ÜZLETI DIGITALIZÁCIÓ ALAPKÉPZÉSI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SZAK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agrár- és üzleti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and Business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oklevélben szereplő megjelölése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-) fokozat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szakképzettség: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mérnök</w:t>
      </w:r>
    </w:p>
    <w:p w:rsidR="00311DB0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Agri-digitalization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agrár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7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Pr="00765534">
        <w:rPr>
          <w:rFonts w:ascii="Times New Roman" w:hAnsi="Times New Roman" w:cs="Times New Roman"/>
          <w:sz w:val="24"/>
          <w:szCs w:val="24"/>
        </w:rPr>
        <w:t>180+30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szak orientációja: kiegyensúlyozott (40-60 százalék)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szakdolgozat elkészítéséhez rendelt kreditérték: 15 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6. A szakképzettség képzési területek egységes osztályozási rendszere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szerinti tanulmányi területi besorolása: 621/0810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A képzés célja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mérnökök képzése, akik képesek a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nemzetközi agrárgazdaság területén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eszközöket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üzemeltetni, működtetni, továbbá az ágazati sajátosságok figyelembevételével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képesek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fejlesztési feladatok megoldására, a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nemzetközi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különböző területein középvezetői 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ellátására. Felkészültek 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7.1.1. Az agrár-</w:t>
      </w:r>
      <w:proofErr w:type="spellStart"/>
      <w:r w:rsidRPr="00765534">
        <w:rPr>
          <w:rFonts w:ascii="Times New Roman" w:hAnsi="Times New Roman" w:cs="Times New Roman"/>
          <w:b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mérnök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Részletekbe menően elsajátítja a gazdaságtudomány, illetve a gazdaság,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agrárium mikro és makro szerveződési szintjeinek fogalmait, törvényszerűségeit,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folyamatait és összefüggéseit, továbbá ismeri a kapcsolódó szakterületek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terminológiáját. Jól ismeri az agrárökonómia szakszókincsét, az írott és beszélt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nyelvi kommunikáció sajátosságait.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különös tekintettel az intézményi környezetre. Ismeri az agrárgazdaság általános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specifikus jellemzőit, határait, legfontosabb fejlődési irányait, az agrárium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kapcsolódását a közgazdasági és üzleti szférához.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lastRenderedPageBreak/>
        <w:t>- Tisztában van az agrárüzleti szektor működésének és fejlődésének ügyviteli,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számviteli és pénzügyi hátterével. Átfogóan ismeri az agráriumban használt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fontosabb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eszközöket, ügyviteli, tervezési, elemzési,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telepirányítási szoftvereket.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tevékenységéhez kapcsolódó szakpolitikáit. Átfogóan ismeri az agrárgazdasághoz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kapcsolódó hazai és európai uniós jogi szabályozást.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Ismeri az agrárgazdasági vállalkozások, egyéb gazdálkodó szervezetek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menedzselt projektek tervezési és vezetési szabályait, szakmai és etikai normáit.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Rendelkezik azzal a tudással, amely szükséges ahhoz, hogy egyénileg,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csoportmunkában elkészítsen projektterveket, illetve uniós és hazai finanszírozású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pályázatokat.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Ismeri és érti a hazai agrárgazdaság működéséhez kapcsolódó hazai és uniós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szakigazgatás rendszerét, valamint a szakterületén lejátszódó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köztük lévő összefüggéseket.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Ismeri a vidék- és területfejlesztés működésének sajátosságait (a mezőgazdaság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vidékfenntartó és vidékfejlesztő szerepét) és a sajátosságok okait. Ismeri az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jólét és az agrárágazat kapcsolatát, az agrárágazat kulturális relációit, kultúrákon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átívelő szerepét és hagyományait. Ismeri a vidékgazdaság, a társadalom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agrárágazat viszonyát, a közösségfejlesztés társadalmi szükségességét,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kapcsolódó környezetpolitikai összefüggéseket.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Tisztában van a tájhasznosítási, az ökológiai és az integrált termelési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technológiákkal, különös tekintettel a precíziós gazdálkodásra. Ismeri a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társadalmi, ökológiai értelemben vett fenntartható élelmiszergazdaságban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megvalósuló innovatív fejlesztések megvalósíthatóságának szakmai és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feltételrendszerét és alapelveit. Ismeri a fejlesztések, beruházások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megvalósításához szükséges finanszírozási források értékelését és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megtérülési elemzések módszertanát.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Tisztában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információgyűjtés és információ-feldolgozás korszerű, elméletileg is igényes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matematikai-statisztikai,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, modellezési módszereivel, valamint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korlátaival is. Ismeri és használja az agrárökonómiai kutatások kvantitatív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kvalitatív elemzési és szoftvertámogatású módszereit. Ismeri az agrárökonómia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sajátos kutatási módszereit, absztrakciós technikáit, az elvi kérdések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vonatkozásainak kidolgozási módjait, a részterületek tervezésének, mérésének és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elemzésének módszereit. Rendelkezik azon ismeretek körével, melyek szükségesek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képzési területen folyó mesterképzésbe való belépéshez.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gyakorlati tudás, tapasztalatok megszerzését követően képes kis-, közepes,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esetleg nagyobb agrárvállalkozások szakterületével releváns szervezeti egységeinek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vezetésére. Gazdálkodó szervezetekben átfogó agrárgazdasági és informatikai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funkciót lát el, összetett agrárüzleti folyamatokat tervez, irányít, az erőforrásokkal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gazdálkodik. A tanult ismeretek és megszerzett tapasztalatok birtokában képes akár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saját vállalkozás irányítására és működtetésére is. Munkája során együttműködik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kapcsolódó szakterületek érintettjeivel.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Képes az agráriumban a termelési folyamatok megszervezésére, ellenőrzésére,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elemzésére és értékelésére. Nemzetközi, multikulturális környezetben is képes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hatékony munkavégzésre.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lastRenderedPageBreak/>
        <w:t>- Gazdálkodási folyamatokban, projektekben, csoportos feladatmegoldásokban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vesz részt, középvezetőként a szakterületéhez kapcsolódó tevékenységet tervezi,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szervezi és értékeli. Képes az agrárgazdaság területén innovációs, tervezési,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fejlesztési és kutatási feladatok elvégzésére és irányítására, továbbá a kutatási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eredmények gyakorlatban történő hasznosításának menedzselésére.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Képes az agrárgazdaságban érdekelt vállalkozások alapításával,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működtetésével, megszüntetésével kapcsolatos elemző, döntés-előkészítő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döntéshozatali tevékenységek magas színvonalú ellátására. Önállóan és csapatban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dolgozva részt tud venni üzleti, operatív, taktikai és stratégiai tervek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kidolgozásában és megvalósításában. Képes az agrárium működéséhez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korszerű informatikai eszközök, szoftverek alkalmazására, használatára, szakszerű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és hatékony szóbeli és írásbeli kommunikációra magyar és legalább egy idegen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nyelven.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Sokoldalú, interdiszciplináris megközelítéssel azonosít speciális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problémákat, feltárja és megfogalmazza az azok megoldásához szükséges részletes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elméleti és gyakorlati hátteret. Képes felismerni egy-egy gazdasági intézkedés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környezetre gyakorolt negatív vagy pozitív hatásait.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Képes komplex módon elemezni egy meghatározott vidéki térség problémáit,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lehetőségeit és képes tanácsot adni a fejlesztés lehetséges irányairól, aktívan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bekapcsolódva a területi tervezési feladatok ellátásába. Képes mérlegelni az 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vállalati, intézményi vagy közösségi projektek hatásait a vidék gazdasági,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társadalmi és természeti környezetére vonatkozóan. Alkalmas az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agrobiznisz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területei által érintett vidéki területeken élő emberek életfeltételeinek,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megélhetésének javítására, a rendelkezésre álló források integrálására, a lokális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gazdaság fejlesztésére és a fenntartható fejlődés megteremtésére.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Magas szinten használja az agrárökonómia ismeretközvetítési technikáit,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dolgozza fel a magyar és idegen nyelvű publikációs forrásait. Rendelkezik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hatékony információkutatás, -feldolgozás ismereteivel. Az agrárökonómia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résztémáiról önálló, szaktudományos formájú összefoglalókat, elemzéseket készít.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Képes menedzselni a kutatási eredmények gyakorlati alkalmazását.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Kreativitás szakmai kérdésekben; jó problémafelismerő és -megoldó képesség;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elemző és szintetizáló képesség; elkötelezettség a fenntarthatóság elve mellett; jó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kommunikációs és együttműködési képesség; szakmai felelősségtudat;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továbbképzés iránti igény.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Fejlett szakmai identitással, hivatástudattal rendelkezik, melyet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szélesebb társadalmi közösség felé is vállal. Kulturált, etikus és tárgyilagos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értelmiségi hozzáállás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a személyekhez, illetve a társadalmi problémákhoz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való viszonyulása során, munkájában figyel a szélesebb körű társadalmi, ágazati,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regionális, nemzeti és európai értékekre. Az agrárgazdaság és informatika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legfontosabb problémái kapcsán átlátja és képviseli az azokat meghatározó aktív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állampolgári, műveltségi elemeket.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Törekszik tudásának és </w:t>
      </w:r>
      <w:r w:rsidRPr="00765534">
        <w:rPr>
          <w:rFonts w:ascii="Times New Roman" w:hAnsi="Times New Roman" w:cs="Times New Roman"/>
          <w:sz w:val="24"/>
          <w:szCs w:val="24"/>
        </w:rPr>
        <w:lastRenderedPageBreak/>
        <w:t>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beosztottjait is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, segíti és támogatja.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Nyitott és befogadó az agrárium és a gazdaságtudomány,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szakinformatika új eredményei iránt, továbbá azonosul a tudományos kutatás etikai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szabályaival és normarendszerével. Nyitott mások eltérő véleményére, ha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szakmai indokokkal kellően alátámasztottak és hitelesen közvetíti szakmája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összefoglaló és részletezett problémaköreit.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Azonosul az élethosszig tartó tanulás koncepciójával, törekszik arra,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szakterülete legújabb eredményeit saját fejlődésének szolgálatába állítsa. Magáévá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teszi azt az elvet, hogy a folyamatos szakmai szocializáció és a személyes tanulás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közjó szolgálatában áll.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Jelentős mértékű önállósággal végzi átfogó és speciális agrár-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 xml:space="preserve">menedzsment kérdések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végiggondolását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és adott források alapján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kidolgozását. Kialakított szakmai véleményét döntési helyzetekben önállóan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képviseli. Önállóan választja ki és alkalmazza a releváns probléma-megoldási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módszereket, önállóan és csapatban lát el agrárgazdasági- és informatikai döntés-előkészítő feladatokat.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vállalkozásáért, az alkalmazottakért. Önállóan azonosítja, tervezi és szervezi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és beosztottjai szakmai és általános fejlődését, azokért felelősséget vállal és visel.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Egy adott szervezeti cél elérése érdekében autonóm módon, a csoport többi tagjával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együttműködve mozgósítja elméleti és gyakorlati tudását és képességeit.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Felelősen gondolkodik a gazdasági döntések környezeti és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hatásairól, valamint az agrárgazdaságban működő vállalkozások társadalmi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környezeti felelősségvállalásáról.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felépül: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Gazdaságtudományi alapismeretek (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, jogi és közigazgatási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ismeretkörök a gazdasági folyamatok megértéséhez elsajátításához) 25-35 kredit,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amelyből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gazdaságmatematikai, informatikai ismeretek 5-15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közgazdaságtani, statisztikai ismeretek 10-15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agrár- és gazdasági jogi ismeretek, közigazgatási alapismeretek 5-15 kredit.</w:t>
      </w:r>
    </w:p>
    <w:p w:rsid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Agrártechnológiai és agrár-természettudományi alapismeretek (az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mezőgazdasági ágazatok termelési folyamataihoz szükséges agrár-természettudományi és mezőgazdasági alapismeretek 20-30 kredit, amelyből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növénytermesztési, kertészeti, állattenyésztési, élelmiszerlánc-biztonsági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alapismeretek 15-25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mezőgazdasági műszaki alapismeretek 4-10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vízgazdálkodási, környezetgazdálkodási ismeretek 4-8 kredit.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lastRenderedPageBreak/>
        <w:t>- Agrárgazdasági és vállalkozási alapismeretek (a gazdasági, agrárpolitikai,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vállalkozástervezési folyamatok megértéséhez szükséges agrárgazdasági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vállalkozásfejlesztési ismeretek) 35-45 kredit amelyből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pénzügy és számviteli, pályázati támogatási ismeretek 5-15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mezőgazdasági üzemtani ismeretek 5-15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szaktanácsadási és agrárkereskedelmi ismeretek 5-10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marketing, logisztikai ismeretek 5-10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regionális gazdaságtani és vidékpolitikai ismeretek 5-15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vidékfejlesztési ismeretek 4-10 kredit,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menedzsment és emberi erőforrás gazdálkodási ismeretek 5-10 kredit.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 xml:space="preserve">- Agrárinformatikai és üzleti 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 xml:space="preserve"> szakmai ismeretek 60-70 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 xml:space="preserve">- agrárinformatikai ismeretek, adatfeldolgozás és vizualizáció, </w:t>
      </w:r>
      <w:proofErr w:type="gramStart"/>
      <w:r w:rsidRPr="00765534">
        <w:rPr>
          <w:rFonts w:ascii="Times New Roman" w:hAnsi="Times New Roman" w:cs="Times New Roman"/>
          <w:sz w:val="24"/>
          <w:szCs w:val="24"/>
        </w:rPr>
        <w:t>agrár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adatbázisrendszerek, agrármenedzsment rendszerek, mezőgazdasági telepirányítási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rendszerek, a logisztika, a marketing, a minőségbiztosítás, a projektmenedzsment,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az élelmiszerbiztonság informatikai támogatásának infokommunikációs eszközei,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ágazati információs rendszerek, szakigazgatási rendszerek, ellátásilánc-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értékteremtő folyamatok menedzsmentje, okos (</w:t>
      </w:r>
      <w:proofErr w:type="spellStart"/>
      <w:r w:rsidRPr="0076553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765534">
        <w:rPr>
          <w:rFonts w:ascii="Times New Roman" w:hAnsi="Times New Roman" w:cs="Times New Roman"/>
          <w:sz w:val="24"/>
          <w:szCs w:val="24"/>
        </w:rPr>
        <w:t>) mezőgazdaság, speciális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szakágazati információs rendszerek, integrált vállalatirányítási rendszerek.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8.2. A szakmai gyakorlat követelmények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A szakmai gyakorlat két részből tevődik össze: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szakmai elméleti képzéshez kapcsolódó, összesen legalább három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gyakorlatiképzésből, valamint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egy félévig (tizenkettő-tizenöt hétig) tartó, külső gyakorlati helyen folyó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szakmai gyakorlatb</w:t>
      </w:r>
      <w:r w:rsidRPr="00765534">
        <w:rPr>
          <w:rFonts w:ascii="Times New Roman" w:hAnsi="Times New Roman" w:cs="Times New Roman"/>
          <w:sz w:val="24"/>
          <w:szCs w:val="24"/>
        </w:rPr>
        <w:t>ól.</w:t>
      </w:r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311DB0"/>
    <w:rsid w:val="00316136"/>
    <w:rsid w:val="00765534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DF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3</cp:revision>
  <dcterms:created xsi:type="dcterms:W3CDTF">2023-09-10T08:01:00Z</dcterms:created>
  <dcterms:modified xsi:type="dcterms:W3CDTF">2023-09-10T08:02:00Z</dcterms:modified>
</cp:coreProperties>
</file>